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149C4876"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w:t>
      </w:r>
      <w:r w:rsidR="008052B1">
        <w:rPr>
          <w:rFonts w:ascii="Arial" w:hAnsi="Arial" w:cs="Arial"/>
          <w:b/>
          <w:sz w:val="36"/>
          <w:szCs w:val="36"/>
        </w:rPr>
        <w:t>Springbank Health</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574912B" w14:textId="64EA33B5" w:rsidR="00675084" w:rsidRPr="00867F6D" w:rsidRDefault="00D356DF"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tcPr>
          <w:p w14:paraId="63F1DB9C" w14:textId="3C3B7D7F"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13/1/25</w:t>
            </w:r>
          </w:p>
        </w:tc>
        <w:tc>
          <w:tcPr>
            <w:tcW w:w="2268" w:type="dxa"/>
            <w:tcBorders>
              <w:top w:val="single" w:sz="4" w:space="0" w:color="333333"/>
              <w:left w:val="single" w:sz="4" w:space="0" w:color="333333"/>
              <w:bottom w:val="single" w:sz="4" w:space="0" w:color="333333"/>
              <w:right w:val="single" w:sz="4" w:space="0" w:color="333333"/>
            </w:tcBorders>
          </w:tcPr>
          <w:p w14:paraId="5082EA54" w14:textId="1292F04C"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tcPr>
          <w:p w14:paraId="49647F9E" w14:textId="77777777" w:rsidR="00675084" w:rsidRPr="00867F6D"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2F80A7D7" w14:textId="77777777" w:rsidR="00675084" w:rsidRPr="00867F6D" w:rsidRDefault="00675084" w:rsidP="00515291">
            <w:pPr>
              <w:rPr>
                <w:rFonts w:ascii="Arial" w:hAnsi="Arial" w:cs="Arial"/>
                <w:sz w:val="26"/>
                <w:szCs w:val="26"/>
              </w:rPr>
            </w:pP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0B3F0345" w14:textId="0B17747E" w:rsidR="00675084" w:rsidRPr="00867F6D" w:rsidRDefault="00675084" w:rsidP="00561FAF">
            <w:pPr>
              <w:jc w:val="cente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0B6D3062" w14:textId="4C634030"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76E5C98F" w14:textId="2C49CE62"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872685C" w14:textId="57A3D46C"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81A838B" w14:textId="50B3F4AB" w:rsidR="00675084" w:rsidRPr="00867F6D" w:rsidRDefault="00675084" w:rsidP="00515291">
            <w:pPr>
              <w:rPr>
                <w:rFonts w:ascii="Arial" w:hAnsi="Arial" w:cs="Arial"/>
                <w:sz w:val="26"/>
                <w:szCs w:val="26"/>
              </w:rPr>
            </w:pP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17533065" w:rsidR="007E5AF9" w:rsidRPr="00867F6D" w:rsidRDefault="007E5AF9" w:rsidP="00044905">
      <w:pPr>
        <w:rPr>
          <w:rFonts w:ascii="Arial" w:hAnsi="Arial" w:cs="Arial"/>
          <w:sz w:val="22"/>
          <w:szCs w:val="22"/>
        </w:rPr>
      </w:pPr>
      <w:r w:rsidRPr="00867F6D">
        <w:rPr>
          <w:rFonts w:ascii="Arial" w:hAnsi="Arial" w:cs="Arial"/>
          <w:sz w:val="22"/>
          <w:szCs w:val="22"/>
        </w:rPr>
        <w:t xml:space="preserve">This policy outlines how </w:t>
      </w:r>
      <w:r w:rsidR="00D356DF">
        <w:rPr>
          <w:rFonts w:ascii="Arial" w:hAnsi="Arial" w:cs="Arial"/>
          <w:sz w:val="22"/>
          <w:szCs w:val="22"/>
        </w:rPr>
        <w:t xml:space="preserve">Springbank Health </w:t>
      </w:r>
      <w:r w:rsidRPr="00867F6D">
        <w:rPr>
          <w:rFonts w:ascii="Arial" w:hAnsi="Arial" w:cs="Arial"/>
          <w:sz w:val="22"/>
          <w:szCs w:val="22"/>
        </w:rPr>
        <w:t xml:space="preserve">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4DCDCF4F"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9"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10"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1"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2"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lastRenderedPageBreak/>
        <w:t xml:space="preserve">Medical notes (paper and electronic) </w:t>
      </w:r>
    </w:p>
    <w:p w14:paraId="441530C3" w14:textId="054E73AF"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3"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4"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5"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6"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7"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8"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9"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20"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D356DF">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356DF">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356DF">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356DF">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356DF">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356DF">
      <w:pPr>
        <w:pStyle w:val="ListParagraph"/>
        <w:numPr>
          <w:ilvl w:val="0"/>
          <w:numId w:val="3"/>
        </w:numPr>
        <w:rPr>
          <w:rStyle w:val="Hyperlink"/>
          <w:rFonts w:ascii="Arial" w:hAnsi="Arial" w:cs="Arial"/>
          <w:color w:val="auto"/>
          <w:sz w:val="22"/>
          <w:szCs w:val="22"/>
          <w:u w:val="none"/>
        </w:rPr>
      </w:pPr>
      <w:hyperlink r:id="rId26"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356DF">
      <w:pPr>
        <w:pStyle w:val="ListParagraph"/>
        <w:numPr>
          <w:ilvl w:val="0"/>
          <w:numId w:val="3"/>
        </w:numPr>
        <w:rPr>
          <w:rFonts w:ascii="Arial" w:hAnsi="Arial" w:cs="Arial"/>
          <w:sz w:val="22"/>
          <w:szCs w:val="22"/>
        </w:rPr>
      </w:pPr>
      <w:hyperlink r:id="rId27"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8"/>
          <w:footerReference w:type="default" r:id="rId29"/>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21213A11" w:rsidR="00182759" w:rsidRPr="00867F6D" w:rsidRDefault="00D356DF" w:rsidP="00044905">
      <w:pPr>
        <w:rPr>
          <w:rFonts w:ascii="Arial" w:hAnsi="Arial" w:cs="Arial"/>
          <w:bCs/>
          <w:color w:val="000000" w:themeColor="text1"/>
          <w:sz w:val="22"/>
          <w:szCs w:val="22"/>
        </w:rPr>
      </w:pPr>
      <w:r>
        <w:rPr>
          <w:rFonts w:ascii="Arial" w:hAnsi="Arial" w:cs="Arial"/>
          <w:bCs/>
          <w:color w:val="000000" w:themeColor="text1"/>
          <w:sz w:val="22"/>
          <w:szCs w:val="22"/>
        </w:rPr>
        <w:t xml:space="preserve">Springbank Health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67F5F7A1"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993E05" w:rsidRPr="00FC303C">
        <w:rPr>
          <w:rFonts w:ascii="Arial" w:hAnsi="Arial" w:cs="Arial"/>
          <w:bCs/>
          <w:color w:val="000000" w:themeColor="text1"/>
          <w:sz w:val="22"/>
          <w:szCs w:val="22"/>
        </w:rPr>
        <w:t>[</w:t>
      </w:r>
      <w:r w:rsidR="00D356DF">
        <w:rPr>
          <w:rFonts w:ascii="Arial" w:hAnsi="Arial" w:cs="Arial"/>
          <w:bCs/>
          <w:color w:val="000000" w:themeColor="text1"/>
          <w:sz w:val="22"/>
          <w:szCs w:val="22"/>
        </w:rPr>
        <w:t>Pauline Nichols</w:t>
      </w:r>
      <w:r w:rsidR="00993E05" w:rsidRPr="00FC303C">
        <w:rPr>
          <w:rFonts w:ascii="Arial" w:hAnsi="Arial" w:cs="Arial"/>
          <w:bCs/>
          <w:color w:val="000000" w:themeColor="text1"/>
          <w:sz w:val="22"/>
          <w:szCs w:val="22"/>
        </w:rPr>
        <w:t>]</w:t>
      </w:r>
      <w:r w:rsidR="005B50F1" w:rsidRPr="00FC303C">
        <w:rPr>
          <w:rFonts w:ascii="Arial" w:hAnsi="Arial" w:cs="Arial"/>
          <w:bCs/>
          <w:color w:val="000000" w:themeColor="text1"/>
          <w:sz w:val="22"/>
          <w:szCs w:val="22"/>
        </w:rPr>
        <w: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356DF">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D356DF">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6AC80066" w14:textId="77777777" w:rsidR="00F644EB" w:rsidRPr="00867F6D" w:rsidRDefault="00F644EB" w:rsidP="00D356DF">
      <w:pPr>
        <w:pStyle w:val="NormalWeb"/>
        <w:spacing w:before="0" w:beforeAutospacing="0" w:after="0" w:afterAutospacing="0"/>
        <w:rPr>
          <w:rFonts w:ascii="Arial" w:hAnsi="Arial" w:cs="Arial"/>
          <w:sz w:val="22"/>
          <w:szCs w:val="22"/>
          <w:lang w:val="en-GB"/>
        </w:rPr>
      </w:pPr>
    </w:p>
    <w:p w14:paraId="15C43C39" w14:textId="2D2B0BBD" w:rsidR="00F644EB" w:rsidRPr="00530547" w:rsidRDefault="00F644EB" w:rsidP="00D356DF">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1"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867F6D">
      <w:pPr>
        <w:pStyle w:val="NormalWeb"/>
        <w:spacing w:before="0" w:beforeAutospacing="0" w:after="0" w:afterAutospacing="0"/>
        <w:rPr>
          <w:rStyle w:val="Hyperlink"/>
          <w:rFonts w:ascii="Arial" w:hAnsi="Arial" w:cs="Arial"/>
          <w:color w:val="000000" w:themeColor="text1"/>
          <w:sz w:val="22"/>
          <w:szCs w:val="22"/>
          <w:u w:val="none"/>
          <w:lang w:val="en-GB"/>
        </w:rPr>
      </w:pP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356DF">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5762CFF3" w:rsidR="00867F6D" w:rsidRPr="00867F6D" w:rsidRDefault="00867F6D" w:rsidP="00D356DF">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lastRenderedPageBreak/>
        <w:t>Please see our local policies for more information</w:t>
      </w:r>
      <w:r w:rsidR="00D356DF">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356DF">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5F344F47"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50F177F8"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We share information with the following medical research organisations with your explicit consent or when the law allows</w:t>
      </w:r>
      <w:r w:rsidR="00D356DF">
        <w:rPr>
          <w:rFonts w:ascii="Arial" w:hAnsi="Arial" w:cs="Arial"/>
          <w:sz w:val="22"/>
          <w:szCs w:val="22"/>
          <w:lang w:val="en-GB"/>
        </w:rPr>
        <w:t>.</w:t>
      </w:r>
    </w:p>
    <w:p w14:paraId="09EA02B3" w14:textId="77777777" w:rsidR="006A455A" w:rsidRDefault="006A455A" w:rsidP="006A455A">
      <w:pPr>
        <w:pStyle w:val="ListParagraph"/>
        <w:rPr>
          <w:rFonts w:ascii="Arial" w:hAnsi="Arial" w:cs="Arial"/>
          <w:sz w:val="22"/>
          <w:szCs w:val="22"/>
        </w:rPr>
      </w:pPr>
    </w:p>
    <w:p w14:paraId="4B51D57D" w14:textId="4D346605" w:rsidR="00366756"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5F05AC7" w14:textId="77777777" w:rsidR="00561FAF" w:rsidRPr="00985AF2" w:rsidRDefault="00561FAF" w:rsidP="00561FAF">
      <w:pPr>
        <w:pStyle w:val="NormalWeb"/>
        <w:spacing w:before="0" w:beforeAutospacing="0" w:after="0" w:afterAutospacing="0"/>
        <w:rPr>
          <w:rFonts w:ascii="Arial" w:hAnsi="Arial" w:cs="Arial"/>
          <w:sz w:val="22"/>
          <w:szCs w:val="22"/>
          <w:lang w:val="en-GB"/>
        </w:rPr>
      </w:pP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356DF">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5A9443CD" w:rsid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2"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25CAA5E9" w:rsidR="00810888" w:rsidRPr="00810888" w:rsidRDefault="002E20F5" w:rsidP="00810888">
            <w:pPr>
              <w:spacing w:before="120" w:after="120"/>
              <w:rPr>
                <w:rFonts w:ascii="Arial" w:hAnsi="Arial" w:cs="Arial"/>
                <w:sz w:val="22"/>
                <w:szCs w:val="22"/>
              </w:rPr>
            </w:pPr>
            <w:r>
              <w:rPr>
                <w:rFonts w:ascii="Arial" w:hAnsi="Arial" w:cs="Arial"/>
                <w:sz w:val="22"/>
                <w:szCs w:val="22"/>
              </w:rPr>
              <w:t>Springbank Health</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0E9800F2" w:rsidR="00810888" w:rsidRPr="00810888" w:rsidRDefault="002E20F5" w:rsidP="00810888">
            <w:pPr>
              <w:spacing w:before="120" w:after="120"/>
              <w:rPr>
                <w:rFonts w:ascii="Arial" w:hAnsi="Arial" w:cs="Arial"/>
                <w:sz w:val="22"/>
                <w:szCs w:val="22"/>
              </w:rPr>
            </w:pPr>
            <w:r>
              <w:rPr>
                <w:rFonts w:ascii="Arial" w:hAnsi="Arial" w:cs="Arial"/>
                <w:sz w:val="22"/>
                <w:szCs w:val="22"/>
              </w:rPr>
              <w:t>Barry Jackson/</w:t>
            </w:r>
            <w:r w:rsidR="00D356DF">
              <w:rPr>
                <w:rFonts w:ascii="Arial" w:hAnsi="Arial" w:cs="Arial"/>
                <w:sz w:val="22"/>
                <w:szCs w:val="22"/>
              </w:rPr>
              <w:t>Pauline Nichols</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D356DF">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78690254"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2A26EE36" w14:textId="77777777" w:rsidR="00810888" w:rsidRPr="00366756" w:rsidRDefault="00810888" w:rsidP="00D55D29">
            <w:pPr>
              <w:rPr>
                <w:rFonts w:ascii="Arial" w:hAnsi="Arial" w:cs="Arial"/>
                <w:color w:val="000000" w:themeColor="text1"/>
                <w:sz w:val="22"/>
                <w:szCs w:val="22"/>
              </w:rPr>
            </w:pPr>
            <w:r w:rsidRPr="00366756">
              <w:rPr>
                <w:rFonts w:ascii="Arial" w:hAnsi="Arial" w:cs="Arial"/>
                <w:color w:val="000000" w:themeColor="text1"/>
                <w:sz w:val="22"/>
                <w:szCs w:val="22"/>
                <w:highlight w:val="yellow"/>
              </w:rPr>
              <w:t>OR</w:t>
            </w:r>
          </w:p>
          <w:p w14:paraId="328D6330" w14:textId="77777777" w:rsidR="00810888" w:rsidRPr="00810888" w:rsidRDefault="00810888" w:rsidP="00D55D29">
            <w:pPr>
              <w:ind w:left="747"/>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lastRenderedPageBreak/>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725682C0" w14:textId="7957615D" w:rsidR="00810888" w:rsidRPr="00D356DF"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lastRenderedPageBreak/>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1F2B7C4F" w14:textId="2269D8DF" w:rsidR="00810888" w:rsidRPr="00366756" w:rsidRDefault="00810888" w:rsidP="00810888">
            <w:pPr>
              <w:rPr>
                <w:rFonts w:ascii="Arial" w:hAnsi="Arial" w:cs="Arial"/>
                <w:color w:val="000000" w:themeColor="text1"/>
                <w:sz w:val="22"/>
                <w:szCs w:val="22"/>
              </w:rPr>
            </w:pPr>
            <w:r w:rsidRPr="00810888">
              <w:rPr>
                <w:rFonts w:ascii="Arial" w:hAnsi="Arial" w:cs="Arial"/>
                <w:color w:val="000000"/>
                <w:sz w:val="22"/>
                <w:szCs w:val="22"/>
              </w:rPr>
              <w:t>For medical research</w:t>
            </w:r>
            <w:r w:rsidR="00FC303C">
              <w:rPr>
                <w:rFonts w:ascii="Arial" w:hAnsi="Arial" w:cs="Arial"/>
                <w:color w:val="000000"/>
                <w:sz w:val="22"/>
                <w:szCs w:val="22"/>
              </w:rPr>
              <w:t>,</w:t>
            </w:r>
            <w:r w:rsidRPr="00810888">
              <w:rPr>
                <w:rFonts w:ascii="Arial" w:hAnsi="Arial" w:cs="Arial"/>
                <w:color w:val="000000"/>
                <w:sz w:val="22"/>
                <w:szCs w:val="22"/>
              </w:rPr>
              <w:t xml:space="preserve"> the data will be shared with </w:t>
            </w:r>
            <w:r w:rsidR="002E20F5">
              <w:rPr>
                <w:rFonts w:ascii="Arial" w:hAnsi="Arial" w:cs="Arial"/>
                <w:color w:val="000000" w:themeColor="text1"/>
                <w:sz w:val="22"/>
                <w:szCs w:val="22"/>
              </w:rPr>
              <w:t xml:space="preserve">organisations deemed appropriate to the care of our patients. </w:t>
            </w: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356DF">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356DF">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6BC73B8C" w:rsidR="00810888" w:rsidRPr="00D55D29" w:rsidRDefault="00810888" w:rsidP="00D356DF">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D356DF">
              <w:rPr>
                <w:rFonts w:ascii="Arial" w:hAnsi="Arial" w:cs="Arial"/>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3"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4F5007AD" w:rsidR="00D55D29" w:rsidRPr="00A8137B" w:rsidRDefault="00D55D29" w:rsidP="00D356DF">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D356DF">
              <w:rPr>
                <w:rFonts w:ascii="Arial" w:hAnsi="Arial" w:cs="Arial"/>
                <w:color w:val="000000"/>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356DF">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356DF">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lastRenderedPageBreak/>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4"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D356DF">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35"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356DF">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36"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7"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8"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356DF">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39"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0"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51B1A4DF" w:rsidR="009003B8" w:rsidRPr="00867F6D" w:rsidRDefault="008F6CBE" w:rsidP="00C146F3">
      <w:pPr>
        <w:rPr>
          <w:rFonts w:ascii="Arial" w:hAnsi="Arial" w:cs="Arial"/>
          <w:sz w:val="22"/>
          <w:szCs w:val="22"/>
        </w:rPr>
      </w:pPr>
      <w:r w:rsidRPr="00867F6D">
        <w:rPr>
          <w:rFonts w:ascii="Arial" w:hAnsi="Arial" w:cs="Arial"/>
          <w:sz w:val="22"/>
          <w:szCs w:val="22"/>
        </w:rPr>
        <w:t>For more information, please visit our privacy notice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1"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2"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1F3E62CC"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2E20F5">
        <w:rPr>
          <w:rFonts w:ascii="Arial" w:hAnsi="Arial" w:cs="Arial"/>
          <w:sz w:val="22"/>
          <w:szCs w:val="22"/>
        </w:rPr>
        <w:t xml:space="preserve"> www.springbanksurgery.co.uk</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356DF">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356DF">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356DF">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4"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5"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lastRenderedPageBreak/>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9A9D" w14:textId="77777777" w:rsidR="008E14D1" w:rsidRDefault="008E14D1" w:rsidP="00D85E4D">
      <w:r>
        <w:separator/>
      </w:r>
    </w:p>
  </w:endnote>
  <w:endnote w:type="continuationSeparator" w:id="0">
    <w:p w14:paraId="637844E6" w14:textId="77777777" w:rsidR="008E14D1" w:rsidRDefault="008E14D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EC5" w14:textId="77777777" w:rsidR="008E14D1" w:rsidRDefault="008E14D1" w:rsidP="00D85E4D">
      <w:r>
        <w:separator/>
      </w:r>
    </w:p>
  </w:footnote>
  <w:footnote w:type="continuationSeparator" w:id="0">
    <w:p w14:paraId="7ACE4014" w14:textId="77777777" w:rsidR="008E14D1" w:rsidRDefault="008E14D1"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660E4CA4" w:rsidR="001D6EA1" w:rsidRDefault="00D356DF" w:rsidP="00D356DF">
    <w:pPr>
      <w:pStyle w:val="Header"/>
      <w:jc w:val="right"/>
    </w:pPr>
    <w:r>
      <w:rPr>
        <w:noProof/>
      </w:rPr>
      <w:drawing>
        <wp:inline distT="0" distB="0" distL="0" distR="0" wp14:anchorId="4D9F0EBD" wp14:editId="674C5AB9">
          <wp:extent cx="2705100" cy="757872"/>
          <wp:effectExtent l="0" t="0" r="0" b="4445"/>
          <wp:docPr id="6875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79" cy="787059"/>
                  </a:xfrm>
                  <a:prstGeom prst="rect">
                    <a:avLst/>
                  </a:prstGeom>
                  <a:noFill/>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5EB0"/>
    <w:multiLevelType w:val="hybridMultilevel"/>
    <w:tmpl w:val="868A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5"/>
  </w:num>
  <w:num w:numId="2" w16cid:durableId="775709685">
    <w:abstractNumId w:val="15"/>
  </w:num>
  <w:num w:numId="3" w16cid:durableId="1001546535">
    <w:abstractNumId w:val="11"/>
  </w:num>
  <w:num w:numId="4" w16cid:durableId="470906101">
    <w:abstractNumId w:val="21"/>
  </w:num>
  <w:num w:numId="5" w16cid:durableId="59526116">
    <w:abstractNumId w:val="14"/>
  </w:num>
  <w:num w:numId="6" w16cid:durableId="1688752863">
    <w:abstractNumId w:val="23"/>
  </w:num>
  <w:num w:numId="7" w16cid:durableId="2062509954">
    <w:abstractNumId w:val="10"/>
  </w:num>
  <w:num w:numId="8" w16cid:durableId="435099607">
    <w:abstractNumId w:val="7"/>
  </w:num>
  <w:num w:numId="9" w16cid:durableId="50466908">
    <w:abstractNumId w:val="17"/>
  </w:num>
  <w:num w:numId="10" w16cid:durableId="884608735">
    <w:abstractNumId w:val="9"/>
  </w:num>
  <w:num w:numId="11" w16cid:durableId="1914924893">
    <w:abstractNumId w:val="6"/>
  </w:num>
  <w:num w:numId="12" w16cid:durableId="1539314692">
    <w:abstractNumId w:val="19"/>
  </w:num>
  <w:num w:numId="13" w16cid:durableId="1229921013">
    <w:abstractNumId w:val="24"/>
  </w:num>
  <w:num w:numId="14" w16cid:durableId="2125616475">
    <w:abstractNumId w:val="13"/>
  </w:num>
  <w:num w:numId="15" w16cid:durableId="2131824260">
    <w:abstractNumId w:val="22"/>
  </w:num>
  <w:num w:numId="16" w16cid:durableId="2123962601">
    <w:abstractNumId w:val="0"/>
  </w:num>
  <w:num w:numId="17" w16cid:durableId="9112457">
    <w:abstractNumId w:val="12"/>
  </w:num>
  <w:num w:numId="18" w16cid:durableId="1350258498">
    <w:abstractNumId w:val="20"/>
  </w:num>
  <w:num w:numId="19" w16cid:durableId="2073381889">
    <w:abstractNumId w:val="18"/>
  </w:num>
  <w:num w:numId="20" w16cid:durableId="1401244789">
    <w:abstractNumId w:val="8"/>
  </w:num>
  <w:num w:numId="21" w16cid:durableId="533033674">
    <w:abstractNumId w:val="1"/>
  </w:num>
  <w:num w:numId="22" w16cid:durableId="1761100555">
    <w:abstractNumId w:val="4"/>
  </w:num>
  <w:num w:numId="23" w16cid:durableId="583684171">
    <w:abstractNumId w:val="3"/>
  </w:num>
  <w:num w:numId="24" w16cid:durableId="1581018914">
    <w:abstractNumId w:val="16"/>
  </w:num>
  <w:num w:numId="25" w16cid:durableId="1724327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E20F5"/>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2D01"/>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1FAF"/>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56C9F"/>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2B1"/>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34DA6"/>
    <w:rsid w:val="00A41814"/>
    <w:rsid w:val="00A41F06"/>
    <w:rsid w:val="00A45C71"/>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04B"/>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356DF"/>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BC3"/>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1C5E"/>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 w:type="paragraph" w:customStyle="1" w:styleId="xmsonormal">
    <w:name w:val="x_msonormal"/>
    <w:basedOn w:val="Normal"/>
    <w:rsid w:val="00561FAF"/>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57056725">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digital.nhs.uk/services/national-data-opt-out"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transform.england.nhs.uk/information-governance/guidance/records-management-code/" TargetMode="External"/><Relationship Id="rId42" Type="http://schemas.openxmlformats.org/officeDocument/2006/relationships/hyperlink" Target="https://www.nhs.uk/your-nhs-data-matters/manage-your-choic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hqip.org.uk/" TargetMode="External"/><Relationship Id="rId37" Type="http://schemas.openxmlformats.org/officeDocument/2006/relationships/hyperlink" Target="https://www.nhs.uk/your-nhs-data-matters/manage-your-choice/" TargetMode="External"/><Relationship Id="rId40" Type="http://schemas.openxmlformats.org/officeDocument/2006/relationships/hyperlink" Target="https://www.nhs.uk/your-nhs-data-matters/manage-your-choice/"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eader" Target="header1.xml"/><Relationship Id="rId36" Type="http://schemas.openxmlformats.org/officeDocument/2006/relationships/hyperlink" Target="https://www.nhs.uk/using-the-nhs/about-the-nhs/opt-out-of-sharing-your-health-records/"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pine"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ico.org.uk/global/contact-us/" TargetMode="External"/><Relationship Id="rId43" Type="http://schemas.openxmlformats.org/officeDocument/2006/relationships/hyperlink" Target="https://assets.nhs.uk/prod/documents/Manage_your_choice_1.1.pdf" TargetMode="External"/><Relationship Id="rId48" Type="http://schemas.openxmlformats.org/officeDocument/2006/relationships/theme" Target="theme/theme1.xml"/><Relationship Id="rId8" Type="http://schemas.openxmlformats.org/officeDocument/2006/relationships/hyperlink" Target="https://practiceindex.co.uk/gp/forum/resources/uk-gdpr-policy.1703/" TargetMode="External"/><Relationship Id="rId3" Type="http://schemas.openxmlformats.org/officeDocument/2006/relationships/styles" Target="styl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digital.nhs.uk/services/national-data-opt-out" TargetMode="External"/><Relationship Id="rId38" Type="http://schemas.openxmlformats.org/officeDocument/2006/relationships/hyperlink" Target="https://assets.nhs.uk/prod/documents/Manage_your_choice_1.1.pdf"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digital.nhs.uk/data-and-information/data-collections-and-data-sets/data-collections/general-practice-data-for-planning-an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3941</Words>
  <Characters>25063</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YOUNG, Danny (SPRINGBANK SURGERY)</cp:lastModifiedBy>
  <cp:revision>6</cp:revision>
  <cp:lastPrinted>2017-09-20T11:53:00Z</cp:lastPrinted>
  <dcterms:created xsi:type="dcterms:W3CDTF">2025-01-13T12:57:00Z</dcterms:created>
  <dcterms:modified xsi:type="dcterms:W3CDTF">2026-01-13T12:36:00Z</dcterms:modified>
</cp:coreProperties>
</file>